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88" w:rsidRPr="005D2ECB" w:rsidRDefault="00897288" w:rsidP="00897288">
      <w:pPr>
        <w:ind w:left="5387"/>
        <w:jc w:val="center"/>
        <w:rPr>
          <w:sz w:val="28"/>
          <w:szCs w:val="28"/>
          <w:lang w:eastAsia="en-US"/>
        </w:rPr>
      </w:pPr>
      <w:r w:rsidRPr="005D2ECB">
        <w:rPr>
          <w:sz w:val="28"/>
          <w:szCs w:val="28"/>
          <w:lang w:eastAsia="en-US"/>
        </w:rPr>
        <w:t>УТВЕРЖДЕНО</w:t>
      </w:r>
    </w:p>
    <w:p w:rsidR="00897288" w:rsidRPr="005D2ECB" w:rsidRDefault="00897288" w:rsidP="00897288">
      <w:pPr>
        <w:ind w:left="5387"/>
        <w:jc w:val="center"/>
        <w:rPr>
          <w:sz w:val="28"/>
          <w:szCs w:val="28"/>
          <w:lang w:eastAsia="en-US"/>
        </w:rPr>
      </w:pPr>
      <w:r w:rsidRPr="005D2ECB">
        <w:rPr>
          <w:sz w:val="28"/>
          <w:szCs w:val="28"/>
          <w:lang w:eastAsia="en-US"/>
        </w:rPr>
        <w:t>постановлением</w:t>
      </w:r>
      <w:r>
        <w:rPr>
          <w:sz w:val="28"/>
          <w:szCs w:val="28"/>
          <w:lang w:eastAsia="en-US"/>
        </w:rPr>
        <w:t xml:space="preserve"> </w:t>
      </w:r>
      <w:r w:rsidRPr="005D2ECB">
        <w:rPr>
          <w:sz w:val="28"/>
          <w:szCs w:val="28"/>
          <w:lang w:eastAsia="en-US"/>
        </w:rPr>
        <w:t>Территориальной</w:t>
      </w:r>
      <w:r>
        <w:rPr>
          <w:sz w:val="28"/>
          <w:szCs w:val="28"/>
          <w:lang w:eastAsia="en-US"/>
        </w:rPr>
        <w:t xml:space="preserve"> </w:t>
      </w:r>
      <w:r w:rsidRPr="005D2ECB">
        <w:rPr>
          <w:sz w:val="28"/>
          <w:szCs w:val="28"/>
          <w:lang w:eastAsia="en-US"/>
        </w:rPr>
        <w:t>избирательной</w:t>
      </w:r>
      <w:r>
        <w:rPr>
          <w:sz w:val="28"/>
          <w:szCs w:val="28"/>
          <w:lang w:eastAsia="en-US"/>
        </w:rPr>
        <w:t xml:space="preserve"> </w:t>
      </w:r>
      <w:r w:rsidRPr="005D2ECB">
        <w:rPr>
          <w:sz w:val="28"/>
          <w:szCs w:val="28"/>
          <w:lang w:eastAsia="en-US"/>
        </w:rPr>
        <w:t>комиссии</w:t>
      </w:r>
      <w:r>
        <w:rPr>
          <w:sz w:val="28"/>
          <w:szCs w:val="28"/>
          <w:lang w:eastAsia="en-US"/>
        </w:rPr>
        <w:t xml:space="preserve"> Орловского района Ростовской области</w:t>
      </w:r>
    </w:p>
    <w:p w:rsidR="00897288" w:rsidRPr="005D2ECB" w:rsidRDefault="00897288" w:rsidP="00897288">
      <w:pPr>
        <w:ind w:left="5387"/>
        <w:jc w:val="center"/>
        <w:rPr>
          <w:sz w:val="28"/>
          <w:szCs w:val="28"/>
        </w:rPr>
      </w:pPr>
      <w:r w:rsidRPr="005D2ECB">
        <w:rPr>
          <w:sz w:val="28"/>
          <w:szCs w:val="28"/>
          <w:lang w:eastAsia="en-US"/>
        </w:rPr>
        <w:t>от</w:t>
      </w:r>
      <w:r>
        <w:rPr>
          <w:sz w:val="28"/>
          <w:szCs w:val="28"/>
          <w:lang w:eastAsia="en-US"/>
        </w:rPr>
        <w:t xml:space="preserve"> 04.07.</w:t>
      </w:r>
      <w:r w:rsidRPr="005D2ECB">
        <w:rPr>
          <w:sz w:val="28"/>
          <w:szCs w:val="28"/>
          <w:lang w:eastAsia="en-US"/>
        </w:rPr>
        <w:t>202</w:t>
      </w:r>
      <w:r>
        <w:rPr>
          <w:sz w:val="28"/>
          <w:szCs w:val="28"/>
          <w:lang w:eastAsia="en-US"/>
        </w:rPr>
        <w:t xml:space="preserve">5 </w:t>
      </w:r>
      <w:r w:rsidRPr="005D2ECB">
        <w:rPr>
          <w:sz w:val="28"/>
          <w:szCs w:val="28"/>
          <w:lang w:eastAsia="en-US"/>
        </w:rPr>
        <w:t>г.</w:t>
      </w:r>
      <w:r>
        <w:rPr>
          <w:sz w:val="28"/>
          <w:szCs w:val="28"/>
          <w:lang w:eastAsia="en-US"/>
        </w:rPr>
        <w:t xml:space="preserve"> </w:t>
      </w:r>
      <w:r w:rsidRPr="005D2ECB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 xml:space="preserve"> 116-2</w:t>
      </w:r>
    </w:p>
    <w:p w:rsidR="00897288" w:rsidRDefault="00897288" w:rsidP="00897288">
      <w:pPr>
        <w:ind w:left="5387"/>
        <w:jc w:val="center"/>
        <w:rPr>
          <w:sz w:val="28"/>
          <w:szCs w:val="28"/>
        </w:rPr>
      </w:pPr>
    </w:p>
    <w:p w:rsidR="00897288" w:rsidRDefault="00897288" w:rsidP="00897288">
      <w:pPr>
        <w:ind w:left="5387"/>
        <w:jc w:val="center"/>
        <w:rPr>
          <w:sz w:val="28"/>
          <w:szCs w:val="28"/>
        </w:rPr>
      </w:pPr>
    </w:p>
    <w:p w:rsidR="00897288" w:rsidRPr="004159F3" w:rsidRDefault="00897288" w:rsidP="00897288">
      <w:pPr>
        <w:keepNext/>
        <w:keepLines/>
        <w:tabs>
          <w:tab w:val="left" w:pos="675"/>
          <w:tab w:val="center" w:pos="4677"/>
        </w:tabs>
        <w:jc w:val="center"/>
        <w:outlineLvl w:val="5"/>
        <w:rPr>
          <w:b/>
          <w:iCs/>
          <w:sz w:val="28"/>
          <w:szCs w:val="28"/>
        </w:rPr>
      </w:pPr>
      <w:r w:rsidRPr="004159F3">
        <w:rPr>
          <w:b/>
          <w:iCs/>
          <w:sz w:val="28"/>
          <w:szCs w:val="28"/>
        </w:rPr>
        <w:t>ПОЛОЖЕНИЕ</w:t>
      </w:r>
    </w:p>
    <w:p w:rsidR="00897288" w:rsidRPr="004159F3" w:rsidRDefault="00897288" w:rsidP="00897288">
      <w:pPr>
        <w:jc w:val="center"/>
        <w:rPr>
          <w:bCs/>
          <w:sz w:val="28"/>
          <w:szCs w:val="28"/>
        </w:rPr>
      </w:pPr>
      <w:r w:rsidRPr="004159F3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Рабочей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группе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Территориальной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избирательной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комиссии</w:t>
      </w:r>
      <w:r>
        <w:rPr>
          <w:b/>
          <w:bCs/>
          <w:sz w:val="28"/>
          <w:szCs w:val="28"/>
        </w:rPr>
        <w:t xml:space="preserve"> Орловского района </w:t>
      </w:r>
      <w:r w:rsidRPr="004159F3">
        <w:rPr>
          <w:b/>
          <w:bCs/>
          <w:sz w:val="28"/>
          <w:szCs w:val="28"/>
        </w:rPr>
        <w:t>Ростовской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области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информ</w:t>
      </w:r>
      <w:bookmarkStart w:id="0" w:name="_GoBack"/>
      <w:bookmarkEnd w:id="0"/>
      <w:r w:rsidRPr="004159F3">
        <w:rPr>
          <w:b/>
          <w:bCs/>
          <w:sz w:val="28"/>
          <w:szCs w:val="28"/>
        </w:rPr>
        <w:t>ационным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Pr="004159F3">
        <w:rPr>
          <w:b/>
          <w:bCs/>
          <w:sz w:val="28"/>
          <w:szCs w:val="28"/>
        </w:rPr>
        <w:t>спорам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иным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вопросам</w:t>
      </w:r>
      <w:r>
        <w:rPr>
          <w:b/>
          <w:bCs/>
          <w:sz w:val="28"/>
          <w:szCs w:val="28"/>
        </w:rPr>
        <w:t xml:space="preserve"> </w:t>
      </w:r>
      <w:r w:rsidRPr="004159F3">
        <w:rPr>
          <w:b/>
          <w:bCs/>
          <w:sz w:val="28"/>
          <w:szCs w:val="28"/>
        </w:rPr>
        <w:t>информационного</w:t>
      </w:r>
      <w:r>
        <w:rPr>
          <w:b/>
          <w:bCs/>
          <w:sz w:val="28"/>
          <w:szCs w:val="28"/>
        </w:rPr>
        <w:t xml:space="preserve"> </w:t>
      </w:r>
      <w:proofErr w:type="gramStart"/>
      <w:r w:rsidRPr="004159F3">
        <w:rPr>
          <w:b/>
          <w:bCs/>
          <w:sz w:val="28"/>
          <w:szCs w:val="28"/>
        </w:rPr>
        <w:t>обеспечения</w:t>
      </w:r>
      <w:r>
        <w:rPr>
          <w:b/>
          <w:bCs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дополнительных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выборов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депутата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Законодательного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седьмого созыва</w:t>
      </w:r>
      <w:proofErr w:type="gramEnd"/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Орловскому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4878BF">
        <w:rPr>
          <w:b/>
          <w:sz w:val="28"/>
          <w:szCs w:val="28"/>
        </w:rPr>
        <w:t>одномандатному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избирательному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округу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13</w:t>
      </w:r>
    </w:p>
    <w:p w:rsidR="00897288" w:rsidRPr="004159F3" w:rsidRDefault="00897288" w:rsidP="0089728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97288" w:rsidRPr="004159F3" w:rsidRDefault="00897288" w:rsidP="0089728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4159F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Настоящее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Положение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определяет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формы</w:t>
      </w:r>
      <w:r>
        <w:rPr>
          <w:bCs/>
          <w:sz w:val="28"/>
          <w:szCs w:val="28"/>
        </w:rPr>
        <w:t xml:space="preserve"> </w:t>
      </w:r>
      <w:proofErr w:type="gramStart"/>
      <w:r w:rsidRPr="004159F3">
        <w:rPr>
          <w:bCs/>
          <w:sz w:val="28"/>
          <w:szCs w:val="28"/>
        </w:rPr>
        <w:t>деятельности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Рабочей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группы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Территориальной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 xml:space="preserve"> Орловского района </w:t>
      </w:r>
      <w:r w:rsidRPr="004159F3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области</w:t>
      </w:r>
      <w:proofErr w:type="gramEnd"/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информационным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спорам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иным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вопросам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информационного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обеспечения</w:t>
      </w:r>
      <w:r>
        <w:rPr>
          <w:bCs/>
          <w:sz w:val="28"/>
          <w:szCs w:val="28"/>
        </w:rPr>
        <w:t xml:space="preserve"> </w:t>
      </w:r>
      <w:r w:rsidRPr="00F11574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выборов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E543A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0E543A">
        <w:rPr>
          <w:sz w:val="28"/>
          <w:szCs w:val="28"/>
        </w:rPr>
        <w:t>созыва</w:t>
      </w:r>
      <w:r>
        <w:rPr>
          <w:b/>
          <w:sz w:val="28"/>
          <w:szCs w:val="28"/>
        </w:rPr>
        <w:t xml:space="preserve"> </w:t>
      </w:r>
      <w:r w:rsidRPr="00F1157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Орловскому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13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Рабочая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группа).</w:t>
      </w:r>
    </w:p>
    <w:p w:rsidR="00897288" w:rsidRPr="004159F3" w:rsidRDefault="00897288" w:rsidP="00897288">
      <w:pPr>
        <w:tabs>
          <w:tab w:val="left" w:pos="1134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4159F3">
        <w:rPr>
          <w:bCs/>
          <w:sz w:val="28"/>
          <w:szCs w:val="28"/>
        </w:rPr>
        <w:t>Рабочая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группа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образуется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из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числа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членов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Территориальной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избирательной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комиссии</w:t>
      </w:r>
      <w:r>
        <w:rPr>
          <w:bCs/>
          <w:sz w:val="28"/>
          <w:szCs w:val="28"/>
        </w:rPr>
        <w:t xml:space="preserve"> Орловского района </w:t>
      </w:r>
      <w:r w:rsidRPr="004159F3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ТИК),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представителей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государственных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органов,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общественных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объединений,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организаций,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осуществляющих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выпуск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средств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массовой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информации,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иных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организаций,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ученых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специалистов.</w:t>
      </w:r>
    </w:p>
    <w:p w:rsidR="00897288" w:rsidRPr="004159F3" w:rsidRDefault="00897288" w:rsidP="00897288">
      <w:pPr>
        <w:tabs>
          <w:tab w:val="left" w:pos="1134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4159F3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Рабочей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группы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утверждается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постановлением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ТИК.</w:t>
      </w:r>
    </w:p>
    <w:p w:rsidR="00897288" w:rsidRPr="004159F3" w:rsidRDefault="00897288" w:rsidP="00897288">
      <w:pPr>
        <w:tabs>
          <w:tab w:val="left" w:pos="1134"/>
          <w:tab w:val="left" w:pos="1418"/>
        </w:tabs>
        <w:spacing w:line="276" w:lineRule="auto"/>
        <w:ind w:left="709"/>
        <w:jc w:val="both"/>
        <w:rPr>
          <w:bCs/>
          <w:sz w:val="28"/>
          <w:szCs w:val="28"/>
        </w:rPr>
      </w:pPr>
      <w:r w:rsidRPr="004159F3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компетенцию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Рабочей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группы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входят: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сбор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систематизация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аудиовизуальных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фотографий,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br/>
        <w:t>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электронных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представленных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ТИК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выборах;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сбор,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систематизация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размещение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соответствующей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информационно-телекоммуникационной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сети</w:t>
      </w:r>
      <w:r>
        <w:rPr>
          <w:bCs/>
          <w:sz w:val="28"/>
          <w:szCs w:val="28"/>
        </w:rPr>
        <w:t xml:space="preserve"> </w:t>
      </w:r>
      <w:r w:rsidRPr="004159F3">
        <w:rPr>
          <w:bCs/>
          <w:sz w:val="28"/>
          <w:szCs w:val="28"/>
        </w:rPr>
        <w:t>«Интернет»</w:t>
      </w:r>
      <w:r>
        <w:rPr>
          <w:bCs/>
          <w:sz w:val="28"/>
          <w:szCs w:val="28"/>
        </w:rPr>
        <w:t xml:space="preserve"> </w:t>
      </w:r>
      <w:r w:rsidRPr="004159F3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фактах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объединениям,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lastRenderedPageBreak/>
        <w:t>зарегистрированным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кандидатам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пунктами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4,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4</w:t>
      </w:r>
      <w:r w:rsidRPr="004159F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02.06.2002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67-ФЗ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гарантиях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референдуме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Федерации»;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передача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ввода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задачу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«Агитация»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ГАС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«Выборы»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сведений,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Регламентом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автоматизированной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«Выборы»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proofErr w:type="gramStart"/>
      <w:r w:rsidRPr="004159F3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соблюдением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установленного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утвержденным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Центральной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14.02.2013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161/1192-6;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159F3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взаимодействии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Контрольно-ревизионной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службой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ТИК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аудиовизуальных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фотографий,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копий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представленных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ТИК,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установленном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областным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выборах,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59F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соответствия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федеральному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областному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выборах,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заключений;</w:t>
      </w:r>
      <w:proofErr w:type="gramEnd"/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вопросов,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касающихся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публикаций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опросов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общественного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мнения,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дополнительными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выборами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Орловскому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13</w:t>
      </w:r>
      <w:r w:rsidRPr="004159F3">
        <w:rPr>
          <w:sz w:val="28"/>
          <w:szCs w:val="28"/>
        </w:rPr>
        <w:t>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предварительное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обращений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нарушениях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положений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12.06.2002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67-ФЗ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гарантиях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референдуме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Федерации»</w:t>
      </w:r>
      <w:proofErr w:type="gramStart"/>
      <w:r w:rsidRPr="004159F3">
        <w:rPr>
          <w:sz w:val="28"/>
          <w:szCs w:val="28"/>
        </w:rPr>
        <w:t>,О</w:t>
      </w:r>
      <w:proofErr w:type="gramEnd"/>
      <w:r w:rsidRPr="004159F3">
        <w:rPr>
          <w:sz w:val="28"/>
          <w:szCs w:val="28"/>
        </w:rPr>
        <w:t>бластного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12.05.2016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525-ЗС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выборах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референдумах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области»,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регулирующих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информирование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избирателей,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агитации;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представлений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ТИК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пресечении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противоправной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агитационной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привлечении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виновных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лиц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59F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ответственности,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установленной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159F3">
        <w:rPr>
          <w:sz w:val="28"/>
          <w:szCs w:val="28"/>
        </w:rPr>
        <w:t>сбор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систематизация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нарушениях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br/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законодательства,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регулирующего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информирования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предвыборной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агитации,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допущенных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объединениями,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кандидатами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депутаты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телерадиовещания,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редакциями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периодических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изданий,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редакциями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сетевых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изданий,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лицами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кампании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дополнительным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выборам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lastRenderedPageBreak/>
        <w:t>депутата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Орловскому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11574">
        <w:rPr>
          <w:sz w:val="28"/>
          <w:szCs w:val="28"/>
        </w:rPr>
        <w:t>13</w:t>
      </w:r>
      <w:r w:rsidRPr="004159F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принятие</w:t>
      </w:r>
      <w:proofErr w:type="gramEnd"/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заключений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(решений)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группы;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полученных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ТИК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органов,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должностных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самоуправления,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организаций,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телерадиовещания,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редакций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периодических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изданий,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редакций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сетевых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изданий,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объединений,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должностных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59F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компетенции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группы;</w:t>
      </w:r>
    </w:p>
    <w:p w:rsidR="00897288" w:rsidRPr="004159F3" w:rsidRDefault="00897288" w:rsidP="00897288">
      <w:pPr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иные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связанные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нарушением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выборах.</w:t>
      </w:r>
    </w:p>
    <w:p w:rsidR="00897288" w:rsidRPr="004159F3" w:rsidRDefault="00897288" w:rsidP="00897288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4159F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группа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своей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руководствуется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Конституцией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федеральными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законами,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нормативными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правовыми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актами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нормативными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актами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Центральной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Федерации,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br/>
        <w:t>а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4159F3">
        <w:rPr>
          <w:sz w:val="28"/>
          <w:szCs w:val="28"/>
        </w:rPr>
        <w:t>Положением.</w:t>
      </w:r>
    </w:p>
    <w:p w:rsidR="00897288" w:rsidRPr="004159F3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созывает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br/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созывается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необходимости.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коллегиально.</w:t>
      </w:r>
    </w:p>
    <w:p w:rsidR="00897288" w:rsidRPr="004159F3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правомочным,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половины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группы.</w:t>
      </w:r>
    </w:p>
    <w:p w:rsidR="00897288" w:rsidRPr="004159F3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открытого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относящихся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компетенции.</w:t>
      </w:r>
    </w:p>
    <w:p w:rsidR="00897288" w:rsidRPr="004159F3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присутствовать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высказывать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мнение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Избирательной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решающего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голоса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аппарата,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ТИК,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159F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являющиеся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членами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группы.</w:t>
      </w:r>
    </w:p>
    <w:p w:rsidR="00897288" w:rsidRPr="004159F3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заявители,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чьи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(чье)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явились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(явилось)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вынесения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уполномоченные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интересы,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заинтересованные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заинтересованных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оформлены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выносимых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приглашаться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комиссий,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выпуск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lastRenderedPageBreak/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специалисты,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заместителем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накануне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очередного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заседания.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9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9F3"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извещаются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члены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касающиеся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оповещения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приглашенных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делопроизводство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председательствует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заседаниях.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исполняет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заместитель,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председательствующим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докладчиками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содокладчиками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превышать: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минут,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минут,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минут,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справок,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минут,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заключительного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докладчика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минут.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628AC">
        <w:rPr>
          <w:rFonts w:ascii="Times New Roman" w:hAnsi="Times New Roman" w:cs="Times New Roman"/>
          <w:sz w:val="28"/>
          <w:szCs w:val="28"/>
        </w:rPr>
        <w:t>Поступившие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ТИК </w:t>
      </w:r>
      <w:r w:rsidRPr="001628AC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секретаря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ведется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поручениями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конкретного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вопроса,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нижестоящими </w:t>
      </w:r>
      <w:r w:rsidRPr="001628AC">
        <w:rPr>
          <w:rFonts w:ascii="Times New Roman" w:hAnsi="Times New Roman" w:cs="Times New Roman"/>
          <w:sz w:val="28"/>
          <w:szCs w:val="28"/>
        </w:rPr>
        <w:t>избирательными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комиссиями,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привлекаемыми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специалистами.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готовятся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рассматриваемому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документу,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поступающих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инструкцией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делопроизводству,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ведется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протокол,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аудиозапись.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ведет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назначаемый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председательствующим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628AC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протоколе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указываются: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повестка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присутствующие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lastRenderedPageBreak/>
        <w:t>(члены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заинтересованные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представители,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выступившие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повестки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дня),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внесенные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предложения,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внесенным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предложениям,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итоговое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решению.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подписывают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секретарь.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секретарем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заседания.</w:t>
      </w:r>
    </w:p>
    <w:p w:rsidR="00897288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большинством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открытым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равенства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«против»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председательствующего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бочей группы является решающим.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голосовании,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предметом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действием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(бездействием)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выпуск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является.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учитывается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определении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группы.</w:t>
      </w:r>
    </w:p>
    <w:p w:rsidR="00897288" w:rsidRPr="001628AC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C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ТИК, </w:t>
      </w:r>
      <w:r w:rsidRPr="001628AC">
        <w:rPr>
          <w:rFonts w:ascii="Times New Roman" w:hAnsi="Times New Roman" w:cs="Times New Roman"/>
          <w:sz w:val="28"/>
          <w:szCs w:val="28"/>
        </w:rPr>
        <w:t>выносятся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заседание</w:t>
      </w:r>
      <w:r>
        <w:rPr>
          <w:rFonts w:ascii="Times New Roman" w:hAnsi="Times New Roman" w:cs="Times New Roman"/>
          <w:sz w:val="28"/>
          <w:szCs w:val="28"/>
        </w:rPr>
        <w:t xml:space="preserve"> ТИК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докладом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выступает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Рабочей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ТИК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</w:p>
    <w:p w:rsidR="00897288" w:rsidRPr="00045B37" w:rsidRDefault="00897288" w:rsidP="00897288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1628AC">
        <w:rPr>
          <w:rFonts w:ascii="Times New Roman" w:hAnsi="Times New Roman" w:cs="Times New Roman"/>
          <w:sz w:val="28"/>
          <w:szCs w:val="28"/>
        </w:rPr>
        <w:t>Обращения,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касающиеся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выборах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избирателей,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предвыборной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агитации,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информирования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избирателей,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предвыборной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агитации,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подлежат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628A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8AC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1628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97288" w:rsidRDefault="00897288" w:rsidP="00897288">
      <w:pPr>
        <w:rPr>
          <w:sz w:val="28"/>
        </w:rPr>
      </w:pPr>
    </w:p>
    <w:p w:rsidR="002B04EF" w:rsidRDefault="00897288"/>
    <w:sectPr w:rsidR="002B04EF" w:rsidSect="008E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5546E9"/>
    <w:multiLevelType w:val="hybridMultilevel"/>
    <w:tmpl w:val="1E6EB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E45A8"/>
    <w:multiLevelType w:val="hybridMultilevel"/>
    <w:tmpl w:val="DEEA5DFE"/>
    <w:lvl w:ilvl="0" w:tplc="F40E6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5D1453"/>
    <w:multiLevelType w:val="hybridMultilevel"/>
    <w:tmpl w:val="02B4EF24"/>
    <w:lvl w:ilvl="0" w:tplc="04190013">
      <w:start w:val="1"/>
      <w:numFmt w:val="upperRoman"/>
      <w:lvlText w:val="%1."/>
      <w:lvlJc w:val="right"/>
      <w:pPr>
        <w:tabs>
          <w:tab w:val="num" w:pos="885"/>
        </w:tabs>
        <w:ind w:left="885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8E2183"/>
    <w:multiLevelType w:val="hybridMultilevel"/>
    <w:tmpl w:val="A8D46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230222"/>
    <w:multiLevelType w:val="hybridMultilevel"/>
    <w:tmpl w:val="140EC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91170"/>
    <w:multiLevelType w:val="hybridMultilevel"/>
    <w:tmpl w:val="6C8A8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386"/>
    <w:multiLevelType w:val="hybridMultilevel"/>
    <w:tmpl w:val="C3948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12F70"/>
    <w:multiLevelType w:val="hybridMultilevel"/>
    <w:tmpl w:val="31F88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709B2"/>
    <w:multiLevelType w:val="hybridMultilevel"/>
    <w:tmpl w:val="4684A4EA"/>
    <w:lvl w:ilvl="0" w:tplc="A77254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2A108F"/>
    <w:multiLevelType w:val="hybridMultilevel"/>
    <w:tmpl w:val="4B4E5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1E0117"/>
    <w:multiLevelType w:val="hybridMultilevel"/>
    <w:tmpl w:val="4FE21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325D9F"/>
    <w:multiLevelType w:val="hybridMultilevel"/>
    <w:tmpl w:val="E618EB56"/>
    <w:lvl w:ilvl="0" w:tplc="1F266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3EE2B65"/>
    <w:multiLevelType w:val="hybridMultilevel"/>
    <w:tmpl w:val="C3948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270E"/>
    <w:multiLevelType w:val="hybridMultilevel"/>
    <w:tmpl w:val="7DCA422C"/>
    <w:lvl w:ilvl="0" w:tplc="2E7A858A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B712B1"/>
    <w:multiLevelType w:val="hybridMultilevel"/>
    <w:tmpl w:val="6A5E01D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FC7199E"/>
    <w:multiLevelType w:val="hybridMultilevel"/>
    <w:tmpl w:val="926A7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8A67DF"/>
    <w:multiLevelType w:val="multilevel"/>
    <w:tmpl w:val="5F9E9222"/>
    <w:lvl w:ilvl="0">
      <w:start w:val="1"/>
      <w:numFmt w:val="decimal"/>
      <w:lvlText w:val="1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-56" w:hanging="360"/>
      </w:pPr>
    </w:lvl>
    <w:lvl w:ilvl="2">
      <w:start w:val="1"/>
      <w:numFmt w:val="lowerRoman"/>
      <w:lvlText w:val="%3."/>
      <w:lvlJc w:val="right"/>
      <w:pPr>
        <w:ind w:left="664" w:hanging="180"/>
      </w:pPr>
    </w:lvl>
    <w:lvl w:ilvl="3">
      <w:start w:val="1"/>
      <w:numFmt w:val="decimal"/>
      <w:lvlText w:val="%4."/>
      <w:lvlJc w:val="left"/>
      <w:pPr>
        <w:ind w:left="1384" w:hanging="360"/>
      </w:pPr>
    </w:lvl>
    <w:lvl w:ilvl="4">
      <w:start w:val="1"/>
      <w:numFmt w:val="lowerLetter"/>
      <w:lvlText w:val="%5."/>
      <w:lvlJc w:val="left"/>
      <w:pPr>
        <w:ind w:left="2104" w:hanging="360"/>
      </w:pPr>
    </w:lvl>
    <w:lvl w:ilvl="5">
      <w:start w:val="1"/>
      <w:numFmt w:val="lowerRoman"/>
      <w:lvlText w:val="%6."/>
      <w:lvlJc w:val="right"/>
      <w:pPr>
        <w:ind w:left="2824" w:hanging="180"/>
      </w:pPr>
    </w:lvl>
    <w:lvl w:ilvl="6">
      <w:start w:val="1"/>
      <w:numFmt w:val="decimal"/>
      <w:lvlText w:val="%7."/>
      <w:lvlJc w:val="left"/>
      <w:pPr>
        <w:ind w:left="3544" w:hanging="360"/>
      </w:pPr>
    </w:lvl>
    <w:lvl w:ilvl="7">
      <w:start w:val="1"/>
      <w:numFmt w:val="lowerLetter"/>
      <w:lvlText w:val="%8."/>
      <w:lvlJc w:val="left"/>
      <w:pPr>
        <w:ind w:left="4264" w:hanging="360"/>
      </w:pPr>
    </w:lvl>
    <w:lvl w:ilvl="8">
      <w:start w:val="1"/>
      <w:numFmt w:val="lowerRoman"/>
      <w:lvlText w:val="%9."/>
      <w:lvlJc w:val="right"/>
      <w:pPr>
        <w:ind w:left="4984" w:hanging="180"/>
      </w:pPr>
    </w:lvl>
  </w:abstractNum>
  <w:abstractNum w:abstractNumId="18">
    <w:nsid w:val="333D68FA"/>
    <w:multiLevelType w:val="hybridMultilevel"/>
    <w:tmpl w:val="E51A9D88"/>
    <w:lvl w:ilvl="0" w:tplc="0F241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B323C"/>
    <w:multiLevelType w:val="hybridMultilevel"/>
    <w:tmpl w:val="55425E5E"/>
    <w:lvl w:ilvl="0" w:tplc="98B020DE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0">
    <w:nsid w:val="3441533A"/>
    <w:multiLevelType w:val="hybridMultilevel"/>
    <w:tmpl w:val="ADCCE608"/>
    <w:lvl w:ilvl="0" w:tplc="594C4D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DE7387"/>
    <w:multiLevelType w:val="hybridMultilevel"/>
    <w:tmpl w:val="AD3A1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214B51"/>
    <w:multiLevelType w:val="multilevel"/>
    <w:tmpl w:val="5DAAD836"/>
    <w:lvl w:ilvl="0">
      <w:start w:val="1"/>
      <w:numFmt w:val="decimal"/>
      <w:lvlText w:val="5.%1"/>
      <w:lvlJc w:val="left"/>
      <w:pPr>
        <w:ind w:left="36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483486"/>
    <w:multiLevelType w:val="hybridMultilevel"/>
    <w:tmpl w:val="5B4AB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78507B"/>
    <w:multiLevelType w:val="multilevel"/>
    <w:tmpl w:val="A3825D4E"/>
    <w:lvl w:ilvl="0">
      <w:start w:val="1"/>
      <w:numFmt w:val="decimal"/>
      <w:lvlText w:val="3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6A338D4"/>
    <w:multiLevelType w:val="hybridMultilevel"/>
    <w:tmpl w:val="5A1A1E4E"/>
    <w:lvl w:ilvl="0" w:tplc="FDAC5058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6C5858"/>
    <w:multiLevelType w:val="multilevel"/>
    <w:tmpl w:val="C694A9E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>
    <w:nsid w:val="44BA5949"/>
    <w:multiLevelType w:val="hybridMultilevel"/>
    <w:tmpl w:val="2048B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113882"/>
    <w:multiLevelType w:val="multilevel"/>
    <w:tmpl w:val="250CB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9">
    <w:nsid w:val="4624069A"/>
    <w:multiLevelType w:val="hybridMultilevel"/>
    <w:tmpl w:val="099CFF24"/>
    <w:lvl w:ilvl="0" w:tplc="04190001">
      <w:start w:val="1"/>
      <w:numFmt w:val="bullet"/>
      <w:lvlText w:val=""/>
      <w:lvlJc w:val="left"/>
      <w:pPr>
        <w:tabs>
          <w:tab w:val="num" w:pos="1539"/>
        </w:tabs>
        <w:ind w:left="1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9"/>
        </w:tabs>
        <w:ind w:left="2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9"/>
        </w:tabs>
        <w:ind w:left="2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9"/>
        </w:tabs>
        <w:ind w:left="3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9"/>
        </w:tabs>
        <w:ind w:left="4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9"/>
        </w:tabs>
        <w:ind w:left="5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9"/>
        </w:tabs>
        <w:ind w:left="5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9"/>
        </w:tabs>
        <w:ind w:left="6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9"/>
        </w:tabs>
        <w:ind w:left="7299" w:hanging="360"/>
      </w:pPr>
      <w:rPr>
        <w:rFonts w:ascii="Wingdings" w:hAnsi="Wingdings" w:hint="default"/>
      </w:rPr>
    </w:lvl>
  </w:abstractNum>
  <w:abstractNum w:abstractNumId="30">
    <w:nsid w:val="470E28CA"/>
    <w:multiLevelType w:val="hybridMultilevel"/>
    <w:tmpl w:val="22AC8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3448C5"/>
    <w:multiLevelType w:val="hybridMultilevel"/>
    <w:tmpl w:val="EDB60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BD3B0F"/>
    <w:multiLevelType w:val="hybridMultilevel"/>
    <w:tmpl w:val="BCF48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635F78"/>
    <w:multiLevelType w:val="hybridMultilevel"/>
    <w:tmpl w:val="A93A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6632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13B1E24"/>
    <w:multiLevelType w:val="hybridMultilevel"/>
    <w:tmpl w:val="1310A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600CC8"/>
    <w:multiLevelType w:val="multilevel"/>
    <w:tmpl w:val="0F4C4320"/>
    <w:lvl w:ilvl="0">
      <w:start w:val="1"/>
      <w:numFmt w:val="decimal"/>
      <w:lvlText w:val="2.%1"/>
      <w:lvlJc w:val="left"/>
      <w:pPr>
        <w:ind w:left="36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8CA1874"/>
    <w:multiLevelType w:val="hybridMultilevel"/>
    <w:tmpl w:val="4C1EA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220F24"/>
    <w:multiLevelType w:val="hybridMultilevel"/>
    <w:tmpl w:val="E9AE57EE"/>
    <w:lvl w:ilvl="0" w:tplc="E2020AD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11D6F59"/>
    <w:multiLevelType w:val="hybridMultilevel"/>
    <w:tmpl w:val="E8D85272"/>
    <w:lvl w:ilvl="0" w:tplc="1B341A6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22B68A0"/>
    <w:multiLevelType w:val="hybridMultilevel"/>
    <w:tmpl w:val="3D80EA3E"/>
    <w:lvl w:ilvl="0" w:tplc="F40E6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6E6B28"/>
    <w:multiLevelType w:val="hybridMultilevel"/>
    <w:tmpl w:val="2E62B1BC"/>
    <w:lvl w:ilvl="0" w:tplc="4AD2B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6EF3DEC"/>
    <w:multiLevelType w:val="hybridMultilevel"/>
    <w:tmpl w:val="0D8E6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A3A7770"/>
    <w:multiLevelType w:val="multilevel"/>
    <w:tmpl w:val="C2D032CE"/>
    <w:lvl w:ilvl="0">
      <w:start w:val="1"/>
      <w:numFmt w:val="decimal"/>
      <w:lvlText w:val="4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A516FB1"/>
    <w:multiLevelType w:val="hybridMultilevel"/>
    <w:tmpl w:val="532C4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34513D"/>
    <w:multiLevelType w:val="hybridMultilevel"/>
    <w:tmpl w:val="BC06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D93C35"/>
    <w:multiLevelType w:val="hybridMultilevel"/>
    <w:tmpl w:val="78EEE730"/>
    <w:lvl w:ilvl="0" w:tplc="96CC914C">
      <w:start w:val="4"/>
      <w:numFmt w:val="upperRoman"/>
      <w:lvlText w:val="%1."/>
      <w:lvlJc w:val="left"/>
      <w:pPr>
        <w:tabs>
          <w:tab w:val="num" w:pos="1146"/>
        </w:tabs>
        <w:ind w:left="114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96646E"/>
    <w:multiLevelType w:val="hybridMultilevel"/>
    <w:tmpl w:val="2DC8D892"/>
    <w:lvl w:ilvl="0" w:tplc="F8568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924805"/>
    <w:multiLevelType w:val="hybridMultilevel"/>
    <w:tmpl w:val="55341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5"/>
  </w:num>
  <w:num w:numId="4">
    <w:abstractNumId w:val="38"/>
  </w:num>
  <w:num w:numId="5">
    <w:abstractNumId w:val="9"/>
  </w:num>
  <w:num w:numId="6">
    <w:abstractNumId w:val="0"/>
  </w:num>
  <w:num w:numId="7">
    <w:abstractNumId w:val="44"/>
  </w:num>
  <w:num w:numId="8">
    <w:abstractNumId w:val="14"/>
  </w:num>
  <w:num w:numId="9">
    <w:abstractNumId w:val="26"/>
  </w:num>
  <w:num w:numId="10">
    <w:abstractNumId w:val="17"/>
  </w:num>
  <w:num w:numId="11">
    <w:abstractNumId w:val="35"/>
  </w:num>
  <w:num w:numId="12">
    <w:abstractNumId w:val="24"/>
  </w:num>
  <w:num w:numId="13">
    <w:abstractNumId w:val="42"/>
  </w:num>
  <w:num w:numId="14">
    <w:abstractNumId w:val="22"/>
  </w:num>
  <w:num w:numId="15">
    <w:abstractNumId w:val="28"/>
  </w:num>
  <w:num w:numId="16">
    <w:abstractNumId w:val="8"/>
  </w:num>
  <w:num w:numId="17">
    <w:abstractNumId w:val="46"/>
  </w:num>
  <w:num w:numId="18">
    <w:abstractNumId w:val="4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9"/>
  </w:num>
  <w:num w:numId="22">
    <w:abstractNumId w:val="16"/>
  </w:num>
  <w:num w:numId="23">
    <w:abstractNumId w:val="33"/>
  </w:num>
  <w:num w:numId="24">
    <w:abstractNumId w:val="2"/>
  </w:num>
  <w:num w:numId="25">
    <w:abstractNumId w:val="4"/>
  </w:num>
  <w:num w:numId="26">
    <w:abstractNumId w:val="39"/>
  </w:num>
  <w:num w:numId="27">
    <w:abstractNumId w:val="23"/>
  </w:num>
  <w:num w:numId="28">
    <w:abstractNumId w:val="10"/>
  </w:num>
  <w:num w:numId="29">
    <w:abstractNumId w:val="29"/>
  </w:num>
  <w:num w:numId="30">
    <w:abstractNumId w:val="43"/>
  </w:num>
  <w:num w:numId="31">
    <w:abstractNumId w:val="18"/>
  </w:num>
  <w:num w:numId="32">
    <w:abstractNumId w:val="47"/>
  </w:num>
  <w:num w:numId="33">
    <w:abstractNumId w:val="30"/>
  </w:num>
  <w:num w:numId="34">
    <w:abstractNumId w:val="36"/>
  </w:num>
  <w:num w:numId="35">
    <w:abstractNumId w:val="32"/>
  </w:num>
  <w:num w:numId="36">
    <w:abstractNumId w:val="11"/>
  </w:num>
  <w:num w:numId="37">
    <w:abstractNumId w:val="34"/>
  </w:num>
  <w:num w:numId="38">
    <w:abstractNumId w:val="31"/>
  </w:num>
  <w:num w:numId="39">
    <w:abstractNumId w:val="15"/>
  </w:num>
  <w:num w:numId="40">
    <w:abstractNumId w:val="1"/>
  </w:num>
  <w:num w:numId="41">
    <w:abstractNumId w:val="20"/>
  </w:num>
  <w:num w:numId="42">
    <w:abstractNumId w:val="6"/>
  </w:num>
  <w:num w:numId="43">
    <w:abstractNumId w:val="41"/>
  </w:num>
  <w:num w:numId="44">
    <w:abstractNumId w:val="37"/>
  </w:num>
  <w:num w:numId="45">
    <w:abstractNumId w:val="13"/>
  </w:num>
  <w:num w:numId="46">
    <w:abstractNumId w:val="27"/>
  </w:num>
  <w:num w:numId="47">
    <w:abstractNumId w:val="7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7288"/>
    <w:rsid w:val="00117B59"/>
    <w:rsid w:val="00897288"/>
    <w:rsid w:val="008E4924"/>
    <w:rsid w:val="00B4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972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97288"/>
    <w:pPr>
      <w:keepNext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897288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88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qFormat/>
    <w:rsid w:val="0089728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88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897288"/>
    <w:pPr>
      <w:spacing w:before="240" w:after="60"/>
      <w:outlineLvl w:val="5"/>
    </w:pPr>
    <w:rPr>
      <w:rFonts w:ascii="Calibri" w:hAnsi="Calibr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qFormat/>
    <w:rsid w:val="0089728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728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7288"/>
    <w:rPr>
      <w:rFonts w:ascii="Cambria" w:eastAsia="Times New Roman" w:hAnsi="Cambria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9728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7288"/>
    <w:rPr>
      <w:rFonts w:ascii="Calibri" w:eastAsia="Times New Roman" w:hAnsi="Calibri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97288"/>
    <w:rPr>
      <w:rFonts w:ascii="Calibri" w:eastAsia="Times New Roman" w:hAnsi="Calibri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897288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897288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897288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1">
    <w:name w:val="toc 6"/>
    <w:next w:val="a"/>
    <w:link w:val="62"/>
    <w:uiPriority w:val="39"/>
    <w:rsid w:val="00897288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897288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Block Text"/>
    <w:basedOn w:val="a"/>
    <w:link w:val="a4"/>
    <w:rsid w:val="00897288"/>
    <w:pPr>
      <w:tabs>
        <w:tab w:val="left" w:pos="7938"/>
      </w:tabs>
      <w:ind w:left="1710" w:right="1717"/>
      <w:jc w:val="both"/>
    </w:pPr>
    <w:rPr>
      <w:rFonts w:ascii="Times New Roman CYR" w:hAnsi="Times New Roman CYR"/>
      <w:b/>
      <w:sz w:val="28"/>
    </w:rPr>
  </w:style>
  <w:style w:type="character" w:customStyle="1" w:styleId="a4">
    <w:name w:val="Цитата Знак"/>
    <w:basedOn w:val="1"/>
    <w:link w:val="a3"/>
    <w:rsid w:val="00897288"/>
    <w:rPr>
      <w:rFonts w:ascii="Times New Roman CYR" w:eastAsia="Times New Roman" w:hAnsi="Times New Roman CYR" w:cs="Times New Roman"/>
      <w:b/>
      <w:color w:val="000000"/>
      <w:sz w:val="28"/>
      <w:szCs w:val="20"/>
      <w:lang w:eastAsia="ru-RU"/>
    </w:rPr>
  </w:style>
  <w:style w:type="paragraph" w:customStyle="1" w:styleId="ConsNonformat">
    <w:name w:val="ConsNonformat"/>
    <w:rsid w:val="0089728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rsid w:val="00897288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rsid w:val="00897288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2">
    <w:name w:val="Основной шрифт абзаца1"/>
    <w:rsid w:val="00897288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3">
    <w:name w:val="Body Text 2"/>
    <w:basedOn w:val="a"/>
    <w:link w:val="24"/>
    <w:rsid w:val="00897288"/>
    <w:pPr>
      <w:ind w:firstLine="540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89728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897288"/>
    <w:pPr>
      <w:ind w:left="720"/>
      <w:contextualSpacing/>
      <w:jc w:val="center"/>
    </w:pPr>
    <w:rPr>
      <w:sz w:val="28"/>
    </w:rPr>
  </w:style>
  <w:style w:type="character" w:customStyle="1" w:styleId="a6">
    <w:name w:val="Абзац списка Знак"/>
    <w:basedOn w:val="1"/>
    <w:link w:val="a5"/>
    <w:uiPriority w:val="34"/>
    <w:rsid w:val="00897288"/>
    <w:rPr>
      <w:rFonts w:eastAsia="Times New Roman" w:cs="Times New Roman"/>
      <w:color w:val="000000"/>
      <w:sz w:val="28"/>
      <w:szCs w:val="20"/>
      <w:lang w:eastAsia="ru-RU"/>
    </w:rPr>
  </w:style>
  <w:style w:type="paragraph" w:styleId="25">
    <w:name w:val="Body Text Indent 2"/>
    <w:basedOn w:val="a"/>
    <w:link w:val="26"/>
    <w:rsid w:val="00897288"/>
    <w:pPr>
      <w:spacing w:after="120" w:line="480" w:lineRule="auto"/>
      <w:ind w:left="283" w:firstLine="720"/>
      <w:jc w:val="both"/>
    </w:pPr>
    <w:rPr>
      <w:sz w:val="28"/>
    </w:rPr>
  </w:style>
  <w:style w:type="character" w:customStyle="1" w:styleId="26">
    <w:name w:val="Основной текст с отступом 2 Знак"/>
    <w:basedOn w:val="a0"/>
    <w:link w:val="25"/>
    <w:rsid w:val="0089728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toc 3"/>
    <w:next w:val="a"/>
    <w:link w:val="34"/>
    <w:uiPriority w:val="39"/>
    <w:rsid w:val="00897288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4">
    <w:name w:val="Оглавление 3 Знак"/>
    <w:link w:val="33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9728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89728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sid w:val="00897288"/>
    <w:rPr>
      <w:rFonts w:ascii="Tahoma" w:hAnsi="Tahoma"/>
      <w:sz w:val="16"/>
    </w:rPr>
  </w:style>
  <w:style w:type="character" w:customStyle="1" w:styleId="aa">
    <w:name w:val="Текст выноски Знак"/>
    <w:basedOn w:val="a0"/>
    <w:link w:val="a9"/>
    <w:uiPriority w:val="99"/>
    <w:rsid w:val="00897288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13">
    <w:name w:val="Строгий1"/>
    <w:basedOn w:val="12"/>
    <w:link w:val="ab"/>
    <w:uiPriority w:val="22"/>
    <w:rsid w:val="00897288"/>
    <w:rPr>
      <w:b/>
    </w:rPr>
  </w:style>
  <w:style w:type="character" w:styleId="ab">
    <w:name w:val="Strong"/>
    <w:basedOn w:val="a0"/>
    <w:link w:val="13"/>
    <w:uiPriority w:val="22"/>
    <w:qFormat/>
    <w:rsid w:val="00897288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customStyle="1" w:styleId="14">
    <w:name w:val="Гиперссылка1"/>
    <w:link w:val="ac"/>
    <w:rsid w:val="00897288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c">
    <w:name w:val="Hyperlink"/>
    <w:link w:val="14"/>
    <w:rsid w:val="00897288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897288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5">
    <w:name w:val="toc 1"/>
    <w:next w:val="a"/>
    <w:link w:val="16"/>
    <w:uiPriority w:val="39"/>
    <w:rsid w:val="00897288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89728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89728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Postan">
    <w:name w:val="Postan"/>
    <w:basedOn w:val="a"/>
    <w:rsid w:val="00897288"/>
    <w:pPr>
      <w:jc w:val="center"/>
    </w:pPr>
    <w:rPr>
      <w:sz w:val="28"/>
    </w:rPr>
  </w:style>
  <w:style w:type="paragraph" w:styleId="9">
    <w:name w:val="toc 9"/>
    <w:next w:val="a"/>
    <w:link w:val="90"/>
    <w:uiPriority w:val="39"/>
    <w:rsid w:val="00897288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897288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897288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89728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d">
    <w:name w:val="Normal (Web)"/>
    <w:basedOn w:val="a"/>
    <w:link w:val="ae"/>
    <w:uiPriority w:val="99"/>
    <w:rsid w:val="00897288"/>
    <w:pPr>
      <w:spacing w:before="100" w:after="100"/>
    </w:pPr>
    <w:rPr>
      <w:sz w:val="24"/>
    </w:rPr>
  </w:style>
  <w:style w:type="character" w:customStyle="1" w:styleId="ae">
    <w:name w:val="Обычный (веб) Знак"/>
    <w:basedOn w:val="1"/>
    <w:link w:val="ad"/>
    <w:uiPriority w:val="99"/>
    <w:rsid w:val="00897288"/>
    <w:rPr>
      <w:rFonts w:eastAsia="Times New Roman" w:cs="Times New Roman"/>
      <w:color w:val="000000"/>
      <w:sz w:val="24"/>
      <w:szCs w:val="20"/>
      <w:lang w:eastAsia="ru-RU"/>
    </w:rPr>
  </w:style>
  <w:style w:type="paragraph" w:styleId="af">
    <w:name w:val="Body Text"/>
    <w:basedOn w:val="a"/>
    <w:link w:val="af0"/>
    <w:rsid w:val="00897288"/>
    <w:pPr>
      <w:spacing w:after="120"/>
    </w:pPr>
  </w:style>
  <w:style w:type="character" w:customStyle="1" w:styleId="af0">
    <w:name w:val="Основной текст Знак"/>
    <w:basedOn w:val="a0"/>
    <w:link w:val="af"/>
    <w:rsid w:val="0089728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1">
    <w:name w:val="Subtitle"/>
    <w:next w:val="a"/>
    <w:link w:val="af2"/>
    <w:uiPriority w:val="11"/>
    <w:qFormat/>
    <w:rsid w:val="0089728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89728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3">
    <w:name w:val="Title"/>
    <w:next w:val="a"/>
    <w:link w:val="af4"/>
    <w:qFormat/>
    <w:rsid w:val="00897288"/>
    <w:pPr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897288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17">
    <w:name w:val="Стиль1"/>
    <w:basedOn w:val="a"/>
    <w:rsid w:val="00897288"/>
    <w:rPr>
      <w:sz w:val="28"/>
    </w:rPr>
  </w:style>
  <w:style w:type="paragraph" w:customStyle="1" w:styleId="af5">
    <w:name w:val="Рабочий"/>
    <w:basedOn w:val="a"/>
    <w:rsid w:val="00897288"/>
    <w:pPr>
      <w:spacing w:line="360" w:lineRule="auto"/>
      <w:ind w:firstLine="709"/>
      <w:jc w:val="both"/>
    </w:pPr>
    <w:rPr>
      <w:rFonts w:eastAsia="Calibri"/>
      <w:color w:val="auto"/>
      <w:sz w:val="24"/>
    </w:rPr>
  </w:style>
  <w:style w:type="paragraph" w:customStyle="1" w:styleId="ConsPlusNormal">
    <w:name w:val="ConsPlusNormal"/>
    <w:rsid w:val="008972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897288"/>
    <w:pPr>
      <w:tabs>
        <w:tab w:val="center" w:pos="4536"/>
        <w:tab w:val="right" w:pos="9072"/>
      </w:tabs>
    </w:pPr>
    <w:rPr>
      <w:color w:val="auto"/>
      <w:sz w:val="28"/>
    </w:rPr>
  </w:style>
  <w:style w:type="character" w:customStyle="1" w:styleId="af7">
    <w:name w:val="Верхний колонтитул Знак"/>
    <w:basedOn w:val="a0"/>
    <w:link w:val="af6"/>
    <w:uiPriority w:val="99"/>
    <w:rsid w:val="008972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Адресат"/>
    <w:basedOn w:val="a"/>
    <w:qFormat/>
    <w:rsid w:val="00897288"/>
    <w:pPr>
      <w:ind w:left="3969"/>
      <w:jc w:val="both"/>
    </w:pPr>
    <w:rPr>
      <w:color w:val="auto"/>
      <w:sz w:val="16"/>
    </w:rPr>
  </w:style>
  <w:style w:type="paragraph" w:styleId="af9">
    <w:name w:val="No Spacing"/>
    <w:uiPriority w:val="1"/>
    <w:qFormat/>
    <w:rsid w:val="008972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1">
    <w:name w:val="Normal1"/>
    <w:rsid w:val="00897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одерж"/>
    <w:basedOn w:val="a"/>
    <w:rsid w:val="00897288"/>
    <w:pPr>
      <w:keepNext/>
      <w:spacing w:after="120"/>
      <w:jc w:val="center"/>
    </w:pPr>
    <w:rPr>
      <w:b/>
      <w:color w:val="auto"/>
      <w:sz w:val="28"/>
    </w:rPr>
  </w:style>
  <w:style w:type="paragraph" w:customStyle="1" w:styleId="210">
    <w:name w:val="Основной текст 21"/>
    <w:basedOn w:val="a"/>
    <w:rsid w:val="00897288"/>
    <w:pPr>
      <w:suppressAutoHyphens/>
      <w:spacing w:after="120" w:line="480" w:lineRule="auto"/>
    </w:pPr>
    <w:rPr>
      <w:color w:val="auto"/>
      <w:lang w:eastAsia="ar-SA"/>
    </w:rPr>
  </w:style>
  <w:style w:type="paragraph" w:customStyle="1" w:styleId="p13">
    <w:name w:val="p13"/>
    <w:basedOn w:val="a"/>
    <w:rsid w:val="00897288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2">
    <w:name w:val="s2"/>
    <w:basedOn w:val="a0"/>
    <w:rsid w:val="00897288"/>
  </w:style>
  <w:style w:type="paragraph" w:styleId="35">
    <w:name w:val="Body Text Indent 3"/>
    <w:basedOn w:val="a"/>
    <w:link w:val="36"/>
    <w:uiPriority w:val="99"/>
    <w:semiHidden/>
    <w:unhideWhenUsed/>
    <w:rsid w:val="00897288"/>
    <w:pPr>
      <w:spacing w:after="120"/>
      <w:ind w:left="283"/>
    </w:pPr>
    <w:rPr>
      <w:color w:val="auto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89728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-15">
    <w:name w:val="14-15"/>
    <w:basedOn w:val="a"/>
    <w:rsid w:val="00897288"/>
    <w:pPr>
      <w:spacing w:line="360" w:lineRule="auto"/>
      <w:ind w:firstLine="709"/>
      <w:jc w:val="both"/>
    </w:pPr>
    <w:rPr>
      <w:color w:val="auto"/>
      <w:sz w:val="28"/>
      <w:szCs w:val="28"/>
    </w:rPr>
  </w:style>
  <w:style w:type="character" w:customStyle="1" w:styleId="s1">
    <w:name w:val="s1"/>
    <w:basedOn w:val="a0"/>
    <w:rsid w:val="00897288"/>
  </w:style>
  <w:style w:type="character" w:customStyle="1" w:styleId="s3">
    <w:name w:val="s3"/>
    <w:basedOn w:val="a0"/>
    <w:rsid w:val="00897288"/>
  </w:style>
  <w:style w:type="paragraph" w:customStyle="1" w:styleId="110">
    <w:name w:val="Заголовок 11"/>
    <w:basedOn w:val="a"/>
    <w:qFormat/>
    <w:rsid w:val="00897288"/>
    <w:pPr>
      <w:keepNext/>
      <w:outlineLvl w:val="0"/>
    </w:pPr>
    <w:rPr>
      <w:b/>
      <w:color w:val="auto"/>
      <w:sz w:val="36"/>
    </w:rPr>
  </w:style>
  <w:style w:type="paragraph" w:customStyle="1" w:styleId="140">
    <w:name w:val="Загл.14"/>
    <w:basedOn w:val="a"/>
    <w:rsid w:val="00897288"/>
    <w:pPr>
      <w:jc w:val="center"/>
    </w:pPr>
    <w:rPr>
      <w:rFonts w:ascii="Times New Roman CYR" w:hAnsi="Times New Roman CYR"/>
      <w:b/>
      <w:color w:val="auto"/>
      <w:sz w:val="28"/>
    </w:rPr>
  </w:style>
  <w:style w:type="paragraph" w:customStyle="1" w:styleId="18">
    <w:name w:val="1"/>
    <w:aliases w:val="5-14"/>
    <w:basedOn w:val="a"/>
    <w:rsid w:val="00897288"/>
    <w:pPr>
      <w:spacing w:line="360" w:lineRule="auto"/>
      <w:ind w:firstLine="709"/>
      <w:jc w:val="both"/>
    </w:pPr>
    <w:rPr>
      <w:color w:val="auto"/>
      <w:sz w:val="28"/>
      <w:szCs w:val="24"/>
    </w:rPr>
  </w:style>
  <w:style w:type="table" w:styleId="afb">
    <w:name w:val="Table Grid"/>
    <w:basedOn w:val="a1"/>
    <w:uiPriority w:val="59"/>
    <w:rsid w:val="00897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897288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14-1512-1">
    <w:name w:val="Текст 14-1.5.Стиль12-1"/>
    <w:basedOn w:val="a"/>
    <w:rsid w:val="00897288"/>
    <w:pPr>
      <w:spacing w:line="360" w:lineRule="auto"/>
      <w:ind w:firstLine="709"/>
      <w:jc w:val="both"/>
    </w:pPr>
    <w:rPr>
      <w:color w:val="auto"/>
      <w:sz w:val="24"/>
    </w:rPr>
  </w:style>
  <w:style w:type="paragraph" w:customStyle="1" w:styleId="afc">
    <w:name w:val="Проектный"/>
    <w:basedOn w:val="a"/>
    <w:rsid w:val="00897288"/>
    <w:pPr>
      <w:spacing w:after="120" w:line="360" w:lineRule="auto"/>
      <w:ind w:firstLine="709"/>
      <w:jc w:val="both"/>
    </w:pPr>
    <w:rPr>
      <w:color w:val="auto"/>
      <w:sz w:val="28"/>
    </w:rPr>
  </w:style>
  <w:style w:type="paragraph" w:customStyle="1" w:styleId="-1">
    <w:name w:val="Т-1"/>
    <w:aliases w:val="5"/>
    <w:basedOn w:val="a"/>
    <w:rsid w:val="00897288"/>
    <w:pPr>
      <w:spacing w:line="360" w:lineRule="auto"/>
      <w:ind w:firstLine="720"/>
      <w:jc w:val="both"/>
    </w:pPr>
    <w:rPr>
      <w:color w:val="auto"/>
      <w:sz w:val="28"/>
    </w:rPr>
  </w:style>
  <w:style w:type="paragraph" w:styleId="afd">
    <w:name w:val="footnote text"/>
    <w:basedOn w:val="a"/>
    <w:link w:val="afe"/>
    <w:uiPriority w:val="99"/>
    <w:semiHidden/>
    <w:unhideWhenUsed/>
    <w:rsid w:val="00897288"/>
    <w:pPr>
      <w:jc w:val="center"/>
    </w:pPr>
    <w:rPr>
      <w:color w:val="auto"/>
    </w:rPr>
  </w:style>
  <w:style w:type="character" w:customStyle="1" w:styleId="afe">
    <w:name w:val="Текст сноски Знак"/>
    <w:basedOn w:val="a0"/>
    <w:link w:val="afd"/>
    <w:uiPriority w:val="99"/>
    <w:semiHidden/>
    <w:rsid w:val="008972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uiPriority w:val="99"/>
    <w:semiHidden/>
    <w:unhideWhenUsed/>
    <w:rsid w:val="00897288"/>
    <w:rPr>
      <w:vertAlign w:val="superscript"/>
    </w:rPr>
  </w:style>
  <w:style w:type="paragraph" w:customStyle="1" w:styleId="ConsPlusTitle">
    <w:name w:val="ConsPlusTitle"/>
    <w:rsid w:val="008972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ff0">
    <w:name w:val="ОбычныйТабличный"/>
    <w:basedOn w:val="a"/>
    <w:next w:val="a"/>
    <w:rsid w:val="00897288"/>
    <w:pPr>
      <w:jc w:val="center"/>
    </w:pPr>
    <w:rPr>
      <w:rFonts w:eastAsia="Calibri"/>
      <w:color w:val="auto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1633</Words>
  <Characters>9314</Characters>
  <Application>Microsoft Office Word</Application>
  <DocSecurity>0</DocSecurity>
  <Lines>77</Lines>
  <Paragraphs>21</Paragraphs>
  <ScaleCrop>false</ScaleCrop>
  <Company/>
  <LinksUpToDate>false</LinksUpToDate>
  <CharactersWithSpaces>10926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1</cp:revision>
  <dcterms:created xsi:type="dcterms:W3CDTF">2025-07-04T10:51:00Z</dcterms:created>
  <dcterms:modified xsi:type="dcterms:W3CDTF">2025-07-04T10:51:00Z</dcterms:modified>
</cp:coreProperties>
</file>